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47C85" w14:textId="6AD4C0A7" w:rsidR="00C159C5" w:rsidRDefault="00C159C5" w:rsidP="00C159C5">
      <w:pPr>
        <w:pStyle w:val="Default"/>
        <w:jc w:val="center"/>
        <w:rPr>
          <w:rFonts w:hAnsi="ＭＳ 明朝"/>
          <w:sz w:val="22"/>
          <w:szCs w:val="22"/>
        </w:rPr>
      </w:pPr>
      <w:r>
        <w:rPr>
          <w:rFonts w:hAnsi="ＭＳ 明朝" w:hint="eastAsia"/>
          <w:sz w:val="22"/>
          <w:szCs w:val="22"/>
        </w:rPr>
        <w:t>岩美町</w:t>
      </w:r>
      <w:r w:rsidRPr="00DF5316">
        <w:rPr>
          <w:rFonts w:hAnsi="ＭＳ 明朝" w:hint="eastAsia"/>
          <w:sz w:val="22"/>
          <w:szCs w:val="22"/>
        </w:rPr>
        <w:t>建設工事</w:t>
      </w:r>
      <w:r>
        <w:rPr>
          <w:rFonts w:hAnsi="ＭＳ 明朝" w:hint="eastAsia"/>
          <w:sz w:val="22"/>
          <w:szCs w:val="22"/>
        </w:rPr>
        <w:t>等</w:t>
      </w:r>
      <w:bookmarkStart w:id="0" w:name="_GoBack"/>
      <w:bookmarkEnd w:id="0"/>
      <w:r w:rsidRPr="00DF5316">
        <w:rPr>
          <w:rFonts w:hAnsi="ＭＳ 明朝" w:hint="eastAsia"/>
          <w:sz w:val="22"/>
          <w:szCs w:val="22"/>
        </w:rPr>
        <w:t>の競争入札における取り抜け方式試行要領</w:t>
      </w:r>
    </w:p>
    <w:p w14:paraId="0069BA16" w14:textId="1EED52FB" w:rsidR="00C159C5" w:rsidRPr="00CD1581" w:rsidRDefault="00C159C5" w:rsidP="002334D7">
      <w:pPr>
        <w:pStyle w:val="Default"/>
        <w:rPr>
          <w:rFonts w:hAnsi="ＭＳ 明朝"/>
          <w:color w:val="FF0000"/>
          <w:sz w:val="22"/>
          <w:szCs w:val="22"/>
        </w:rPr>
      </w:pPr>
    </w:p>
    <w:p w14:paraId="73148135" w14:textId="77777777" w:rsidR="00C159C5" w:rsidRPr="00DF5316" w:rsidRDefault="00C159C5" w:rsidP="00C159C5">
      <w:pPr>
        <w:pStyle w:val="Default"/>
        <w:rPr>
          <w:rFonts w:hAnsi="ＭＳ 明朝"/>
          <w:sz w:val="22"/>
          <w:szCs w:val="22"/>
        </w:rPr>
      </w:pPr>
      <w:r w:rsidRPr="00DF5316">
        <w:rPr>
          <w:rFonts w:hAnsi="ＭＳ 明朝" w:hint="eastAsia"/>
          <w:sz w:val="22"/>
          <w:szCs w:val="22"/>
        </w:rPr>
        <w:t>（趣旨）</w:t>
      </w:r>
    </w:p>
    <w:p w14:paraId="74ADB654" w14:textId="77777777" w:rsidR="00C159C5" w:rsidRPr="00DF5316" w:rsidRDefault="00C159C5" w:rsidP="00C159C5">
      <w:pPr>
        <w:pStyle w:val="Default"/>
        <w:ind w:left="220" w:hangingChars="100" w:hanging="220"/>
        <w:rPr>
          <w:rFonts w:hAnsi="ＭＳ 明朝"/>
          <w:sz w:val="22"/>
          <w:szCs w:val="22"/>
        </w:rPr>
      </w:pPr>
      <w:r w:rsidRPr="00DF5316">
        <w:rPr>
          <w:rFonts w:hAnsi="ＭＳ 明朝" w:hint="eastAsia"/>
          <w:sz w:val="22"/>
          <w:szCs w:val="22"/>
        </w:rPr>
        <w:t>第１条</w:t>
      </w:r>
      <w:r>
        <w:rPr>
          <w:rFonts w:hAnsi="ＭＳ 明朝" w:hint="eastAsia"/>
          <w:sz w:val="22"/>
          <w:szCs w:val="22"/>
        </w:rPr>
        <w:t xml:space="preserve">　</w:t>
      </w:r>
      <w:r w:rsidRPr="00DF5316">
        <w:rPr>
          <w:rFonts w:hAnsi="ＭＳ 明朝" w:hint="eastAsia"/>
          <w:sz w:val="22"/>
          <w:szCs w:val="22"/>
        </w:rPr>
        <w:t>この要領は、建設工事業者の過大受注による工事</w:t>
      </w:r>
      <w:r>
        <w:rPr>
          <w:rFonts w:hAnsi="ＭＳ 明朝" w:hint="eastAsia"/>
          <w:sz w:val="22"/>
          <w:szCs w:val="22"/>
        </w:rPr>
        <w:t>等の</w:t>
      </w:r>
      <w:r w:rsidRPr="00DF5316">
        <w:rPr>
          <w:rFonts w:hAnsi="ＭＳ 明朝" w:hint="eastAsia"/>
          <w:sz w:val="22"/>
          <w:szCs w:val="22"/>
        </w:rPr>
        <w:t>品質</w:t>
      </w:r>
      <w:r>
        <w:rPr>
          <w:rFonts w:hAnsi="ＭＳ 明朝" w:hint="eastAsia"/>
          <w:sz w:val="22"/>
          <w:szCs w:val="22"/>
        </w:rPr>
        <w:t>の低下防止及び受注機会の均等による建設業者の育成を目的に、岩美町</w:t>
      </w:r>
      <w:r w:rsidRPr="00DF5316">
        <w:rPr>
          <w:rFonts w:hAnsi="ＭＳ 明朝" w:hint="eastAsia"/>
          <w:sz w:val="22"/>
          <w:szCs w:val="22"/>
        </w:rPr>
        <w:t>が発注する建設工事</w:t>
      </w:r>
      <w:r>
        <w:rPr>
          <w:rFonts w:hAnsi="ＭＳ 明朝" w:hint="eastAsia"/>
          <w:sz w:val="22"/>
          <w:szCs w:val="22"/>
        </w:rPr>
        <w:t>及び業務</w:t>
      </w:r>
      <w:r w:rsidRPr="00DF5316">
        <w:rPr>
          <w:rFonts w:hAnsi="ＭＳ 明朝" w:hint="eastAsia"/>
          <w:sz w:val="22"/>
          <w:szCs w:val="22"/>
        </w:rPr>
        <w:t>（以下「工事</w:t>
      </w:r>
      <w:r>
        <w:rPr>
          <w:rFonts w:hAnsi="ＭＳ 明朝" w:hint="eastAsia"/>
          <w:sz w:val="22"/>
          <w:szCs w:val="22"/>
        </w:rPr>
        <w:t>等</w:t>
      </w:r>
      <w:r w:rsidRPr="00DF5316">
        <w:rPr>
          <w:rFonts w:hAnsi="ＭＳ 明朝" w:hint="eastAsia"/>
          <w:sz w:val="22"/>
          <w:szCs w:val="22"/>
        </w:rPr>
        <w:t>」という。）の一般競争入札（以下「競争入札」という。）における取り抜け方式の試行に関し、必要な事項を定めるものとする。</w:t>
      </w:r>
    </w:p>
    <w:p w14:paraId="4738A848" w14:textId="77777777" w:rsidR="00C159C5" w:rsidRDefault="00C159C5" w:rsidP="00C159C5">
      <w:pPr>
        <w:pStyle w:val="Default"/>
        <w:rPr>
          <w:rFonts w:hAnsi="ＭＳ 明朝"/>
          <w:sz w:val="22"/>
          <w:szCs w:val="22"/>
        </w:rPr>
      </w:pPr>
    </w:p>
    <w:p w14:paraId="639C9E0F" w14:textId="77777777" w:rsidR="00C159C5" w:rsidRPr="00AF602D" w:rsidRDefault="00C159C5" w:rsidP="00C159C5">
      <w:pPr>
        <w:pStyle w:val="Default"/>
        <w:rPr>
          <w:rFonts w:hAnsi="ＭＳ 明朝"/>
          <w:color w:val="auto"/>
          <w:sz w:val="22"/>
          <w:szCs w:val="22"/>
        </w:rPr>
      </w:pPr>
      <w:r w:rsidRPr="00DF5316">
        <w:rPr>
          <w:rFonts w:hAnsi="ＭＳ 明朝" w:hint="eastAsia"/>
          <w:sz w:val="22"/>
          <w:szCs w:val="22"/>
        </w:rPr>
        <w:t>（定義）</w:t>
      </w:r>
    </w:p>
    <w:p w14:paraId="0A687F5E" w14:textId="77777777" w:rsidR="00C159C5" w:rsidRPr="00AF602D" w:rsidRDefault="00C159C5" w:rsidP="00C159C5">
      <w:pPr>
        <w:pStyle w:val="Default"/>
        <w:ind w:left="220" w:hangingChars="100" w:hanging="220"/>
        <w:rPr>
          <w:rFonts w:hAnsi="ＭＳ 明朝"/>
          <w:color w:val="auto"/>
          <w:sz w:val="22"/>
          <w:szCs w:val="22"/>
        </w:rPr>
      </w:pPr>
      <w:r w:rsidRPr="00AF602D">
        <w:rPr>
          <w:rFonts w:hAnsi="ＭＳ 明朝" w:hint="eastAsia"/>
          <w:color w:val="auto"/>
          <w:sz w:val="22"/>
          <w:szCs w:val="22"/>
        </w:rPr>
        <w:t>第２条　この要領において、取り抜け方式とは、同一日に開札する競争入札において、同一工種かつ同一格付等級の工事等が複数あるときに、落札者を決定する工事等の順位（以下「落札決定順位」という。）をあらかじめ定めておき、落札決定順位が上位の工事等で落札者となった者の次案件以降の入札書を無効とみなすことにより、落札者を決定する入札方式をいう。</w:t>
      </w:r>
    </w:p>
    <w:p w14:paraId="65EAEB6C" w14:textId="77777777" w:rsidR="00C159C5" w:rsidRPr="00AF602D" w:rsidRDefault="00C159C5" w:rsidP="00C159C5">
      <w:pPr>
        <w:pStyle w:val="Default"/>
        <w:rPr>
          <w:rFonts w:hAnsi="ＭＳ 明朝"/>
          <w:color w:val="auto"/>
          <w:sz w:val="22"/>
          <w:szCs w:val="22"/>
        </w:rPr>
      </w:pPr>
    </w:p>
    <w:p w14:paraId="005689DF" w14:textId="77777777" w:rsidR="00C159C5" w:rsidRPr="00AF602D" w:rsidRDefault="00C159C5" w:rsidP="00C159C5">
      <w:pPr>
        <w:pStyle w:val="Default"/>
        <w:rPr>
          <w:rFonts w:hAnsi="ＭＳ 明朝"/>
          <w:color w:val="auto"/>
          <w:sz w:val="22"/>
          <w:szCs w:val="22"/>
        </w:rPr>
      </w:pPr>
      <w:r w:rsidRPr="00AF602D">
        <w:rPr>
          <w:rFonts w:hAnsi="ＭＳ 明朝" w:hint="eastAsia"/>
          <w:color w:val="auto"/>
          <w:sz w:val="22"/>
          <w:szCs w:val="22"/>
        </w:rPr>
        <w:t>（適用対象）</w:t>
      </w:r>
    </w:p>
    <w:p w14:paraId="12F3D840" w14:textId="77777777" w:rsidR="00C159C5" w:rsidRPr="00AF602D" w:rsidRDefault="00C159C5" w:rsidP="00C159C5">
      <w:pPr>
        <w:pStyle w:val="Default"/>
        <w:ind w:left="220" w:hangingChars="100" w:hanging="220"/>
        <w:rPr>
          <w:rFonts w:hAnsi="ＭＳ 明朝"/>
          <w:color w:val="auto"/>
          <w:sz w:val="22"/>
          <w:szCs w:val="22"/>
        </w:rPr>
      </w:pPr>
      <w:r w:rsidRPr="00AF602D">
        <w:rPr>
          <w:rFonts w:hAnsi="ＭＳ 明朝" w:hint="eastAsia"/>
          <w:color w:val="auto"/>
          <w:sz w:val="22"/>
          <w:szCs w:val="22"/>
        </w:rPr>
        <w:t>第３条　取り抜け方式による競争入札を行う適用対象の工事等は、次の各号の要件をすべて満たすものとする。</w:t>
      </w:r>
    </w:p>
    <w:p w14:paraId="2FBBD77C" w14:textId="77777777" w:rsidR="00C159C5" w:rsidRPr="00AF602D" w:rsidRDefault="00C159C5" w:rsidP="00C159C5">
      <w:pPr>
        <w:pStyle w:val="Default"/>
        <w:ind w:right="-1" w:firstLineChars="100" w:firstLine="220"/>
        <w:rPr>
          <w:rFonts w:hAnsi="ＭＳ 明朝"/>
          <w:color w:val="auto"/>
          <w:sz w:val="22"/>
          <w:szCs w:val="22"/>
        </w:rPr>
      </w:pPr>
      <w:r w:rsidRPr="00AF602D">
        <w:rPr>
          <w:rFonts w:hAnsi="ＭＳ 明朝" w:hint="eastAsia"/>
          <w:color w:val="auto"/>
          <w:sz w:val="22"/>
          <w:szCs w:val="22"/>
        </w:rPr>
        <w:t>（</w:t>
      </w:r>
      <w:r w:rsidRPr="00AF602D">
        <w:rPr>
          <w:rFonts w:hAnsi="ＭＳ 明朝" w:cs="Century"/>
          <w:color w:val="auto"/>
          <w:sz w:val="22"/>
          <w:szCs w:val="22"/>
        </w:rPr>
        <w:t>1</w:t>
      </w:r>
      <w:r w:rsidRPr="00AF602D">
        <w:rPr>
          <w:rFonts w:hAnsi="ＭＳ 明朝" w:hint="eastAsia"/>
          <w:color w:val="auto"/>
          <w:sz w:val="22"/>
          <w:szCs w:val="22"/>
        </w:rPr>
        <w:t>）同一日に入札公告を行い、かつ、同一日に開札を行う工事等</w:t>
      </w:r>
    </w:p>
    <w:p w14:paraId="544675C9" w14:textId="77777777" w:rsidR="00C159C5" w:rsidRPr="00AF602D" w:rsidRDefault="00C159C5" w:rsidP="00C159C5">
      <w:pPr>
        <w:pStyle w:val="Default"/>
        <w:ind w:firstLineChars="100" w:firstLine="220"/>
        <w:rPr>
          <w:rFonts w:hAnsi="ＭＳ 明朝"/>
          <w:color w:val="auto"/>
          <w:sz w:val="22"/>
          <w:szCs w:val="22"/>
        </w:rPr>
      </w:pPr>
      <w:r w:rsidRPr="00AF602D">
        <w:rPr>
          <w:rFonts w:hAnsi="ＭＳ 明朝" w:hint="eastAsia"/>
          <w:color w:val="auto"/>
          <w:sz w:val="22"/>
          <w:szCs w:val="22"/>
        </w:rPr>
        <w:t>（</w:t>
      </w:r>
      <w:r w:rsidRPr="00AF602D">
        <w:rPr>
          <w:rFonts w:hAnsi="ＭＳ 明朝" w:cs="Century"/>
          <w:color w:val="auto"/>
          <w:sz w:val="22"/>
          <w:szCs w:val="22"/>
        </w:rPr>
        <w:t>2</w:t>
      </w:r>
      <w:r w:rsidRPr="00AF602D">
        <w:rPr>
          <w:rFonts w:hAnsi="ＭＳ 明朝" w:hint="eastAsia"/>
          <w:color w:val="auto"/>
          <w:sz w:val="22"/>
          <w:szCs w:val="22"/>
        </w:rPr>
        <w:t>）工事等種別及び発注格付等級が同一である工事等</w:t>
      </w:r>
    </w:p>
    <w:p w14:paraId="2E2185D9" w14:textId="77777777" w:rsidR="00C159C5" w:rsidRPr="00AF602D" w:rsidRDefault="00C159C5" w:rsidP="00C159C5">
      <w:pPr>
        <w:pStyle w:val="Default"/>
        <w:ind w:firstLineChars="100" w:firstLine="220"/>
        <w:rPr>
          <w:rFonts w:hAnsi="ＭＳ 明朝"/>
          <w:color w:val="auto"/>
          <w:sz w:val="22"/>
          <w:szCs w:val="22"/>
        </w:rPr>
      </w:pPr>
    </w:p>
    <w:p w14:paraId="5718A9E7" w14:textId="77777777" w:rsidR="00C159C5" w:rsidRPr="00AF602D" w:rsidRDefault="00C159C5" w:rsidP="00C159C5">
      <w:pPr>
        <w:pStyle w:val="Default"/>
        <w:rPr>
          <w:rFonts w:hAnsi="ＭＳ 明朝"/>
          <w:color w:val="auto"/>
          <w:sz w:val="22"/>
          <w:szCs w:val="22"/>
        </w:rPr>
      </w:pPr>
      <w:r w:rsidRPr="00AF602D">
        <w:rPr>
          <w:rFonts w:hAnsi="ＭＳ 明朝" w:hint="eastAsia"/>
          <w:color w:val="auto"/>
          <w:sz w:val="22"/>
          <w:szCs w:val="22"/>
        </w:rPr>
        <w:t>（適用の例外）</w:t>
      </w:r>
    </w:p>
    <w:p w14:paraId="683AD51D" w14:textId="77777777" w:rsidR="00C159C5" w:rsidRPr="00AF602D" w:rsidRDefault="00C159C5" w:rsidP="00C159C5">
      <w:pPr>
        <w:pStyle w:val="Default"/>
        <w:ind w:left="220" w:hangingChars="100" w:hanging="220"/>
        <w:rPr>
          <w:rFonts w:hAnsi="ＭＳ 明朝"/>
          <w:color w:val="auto"/>
          <w:sz w:val="22"/>
          <w:szCs w:val="22"/>
        </w:rPr>
      </w:pPr>
      <w:r w:rsidRPr="00AF602D">
        <w:rPr>
          <w:rFonts w:hAnsi="ＭＳ 明朝" w:hint="eastAsia"/>
          <w:color w:val="auto"/>
          <w:sz w:val="22"/>
          <w:szCs w:val="22"/>
        </w:rPr>
        <w:t>第４条　前条の規定にかかわらず、落札決定順位が下位の工事等において、当該入札方式適用工事等の数、入札参加見込業者数及び入札参加業者数等の状況から、取り抜け方式による競争入札を行うと、入札参加者が極めて少数になることが予想されるなど、競争性が確保できないおそれがあるとき、又は町長が特に必要と認める場合については、取り抜け方式を採用しないことができる。</w:t>
      </w:r>
    </w:p>
    <w:p w14:paraId="340E9D57" w14:textId="77777777" w:rsidR="00C159C5" w:rsidRPr="00AF602D" w:rsidRDefault="00C159C5" w:rsidP="00C159C5">
      <w:pPr>
        <w:pStyle w:val="Default"/>
        <w:rPr>
          <w:rFonts w:hAnsi="ＭＳ 明朝"/>
          <w:color w:val="auto"/>
          <w:sz w:val="22"/>
          <w:szCs w:val="22"/>
        </w:rPr>
      </w:pPr>
    </w:p>
    <w:p w14:paraId="2FB6EA59" w14:textId="77777777" w:rsidR="00C159C5" w:rsidRPr="00AF602D" w:rsidRDefault="00C159C5" w:rsidP="00C159C5">
      <w:pPr>
        <w:pStyle w:val="Default"/>
        <w:rPr>
          <w:rFonts w:hAnsi="ＭＳ 明朝"/>
          <w:color w:val="auto"/>
          <w:sz w:val="22"/>
          <w:szCs w:val="22"/>
        </w:rPr>
      </w:pPr>
      <w:r w:rsidRPr="00AF602D">
        <w:rPr>
          <w:rFonts w:hAnsi="ＭＳ 明朝" w:hint="eastAsia"/>
          <w:color w:val="auto"/>
          <w:sz w:val="22"/>
          <w:szCs w:val="22"/>
        </w:rPr>
        <w:t>（留意事項）</w:t>
      </w:r>
    </w:p>
    <w:p w14:paraId="6E0211F8" w14:textId="77777777" w:rsidR="00DE0225" w:rsidRPr="00AF602D" w:rsidRDefault="00DE0225" w:rsidP="00DE0225">
      <w:pPr>
        <w:pStyle w:val="Default"/>
        <w:ind w:left="220" w:hangingChars="100" w:hanging="220"/>
        <w:rPr>
          <w:rFonts w:hAnsi="ＭＳ 明朝"/>
          <w:color w:val="auto"/>
          <w:sz w:val="22"/>
          <w:szCs w:val="22"/>
        </w:rPr>
      </w:pPr>
      <w:r w:rsidRPr="00AF602D">
        <w:rPr>
          <w:rFonts w:hAnsi="ＭＳ 明朝" w:hint="eastAsia"/>
          <w:color w:val="auto"/>
          <w:sz w:val="22"/>
          <w:szCs w:val="22"/>
        </w:rPr>
        <w:t>第５条　取り抜け方式の適用に当たっては、次の各号に留意するものとする。</w:t>
      </w:r>
    </w:p>
    <w:p w14:paraId="6078361A" w14:textId="77777777" w:rsidR="00DE0225" w:rsidRPr="00AF602D" w:rsidRDefault="00DE0225" w:rsidP="00DE0225">
      <w:pPr>
        <w:pStyle w:val="Default"/>
        <w:ind w:left="440" w:hangingChars="200" w:hanging="440"/>
        <w:rPr>
          <w:rFonts w:hAnsi="ＭＳ 明朝"/>
          <w:color w:val="auto"/>
          <w:sz w:val="22"/>
          <w:szCs w:val="22"/>
        </w:rPr>
      </w:pPr>
      <w:r w:rsidRPr="00AF602D">
        <w:rPr>
          <w:rFonts w:hAnsi="ＭＳ 明朝" w:hint="eastAsia"/>
          <w:color w:val="auto"/>
          <w:sz w:val="22"/>
          <w:szCs w:val="22"/>
        </w:rPr>
        <w:t xml:space="preserve">　（１）適用対象となる工事等については、入札公告に明記し入札参加者に周知することとする。</w:t>
      </w:r>
    </w:p>
    <w:p w14:paraId="7EC06992" w14:textId="77777777" w:rsidR="00DE0225" w:rsidRPr="00AF602D" w:rsidRDefault="00DE0225" w:rsidP="00DE0225">
      <w:pPr>
        <w:pStyle w:val="Default"/>
        <w:ind w:left="440" w:hangingChars="200" w:hanging="440"/>
        <w:rPr>
          <w:rFonts w:hAnsi="ＭＳ 明朝"/>
          <w:color w:val="auto"/>
          <w:sz w:val="22"/>
          <w:szCs w:val="22"/>
        </w:rPr>
      </w:pPr>
      <w:r w:rsidRPr="00AF602D">
        <w:rPr>
          <w:rFonts w:hAnsi="ＭＳ 明朝" w:hint="eastAsia"/>
          <w:color w:val="auto"/>
          <w:sz w:val="22"/>
          <w:szCs w:val="22"/>
        </w:rPr>
        <w:t xml:space="preserve">　（２）落札決定順位は、予定価格が高いものから先に開札を行うこととする。</w:t>
      </w:r>
    </w:p>
    <w:p w14:paraId="369EF5FC" w14:textId="6D124951" w:rsidR="00DE0225" w:rsidRPr="00AF602D" w:rsidRDefault="00DE0225" w:rsidP="00DE0225">
      <w:pPr>
        <w:pStyle w:val="Default"/>
        <w:ind w:leftChars="100" w:left="430" w:hangingChars="100" w:hanging="220"/>
        <w:rPr>
          <w:rFonts w:hAnsi="ＭＳ 明朝"/>
          <w:color w:val="auto"/>
          <w:sz w:val="22"/>
          <w:szCs w:val="22"/>
        </w:rPr>
      </w:pPr>
      <w:r w:rsidRPr="00AF602D">
        <w:rPr>
          <w:rFonts w:hAnsi="ＭＳ 明朝" w:hint="eastAsia"/>
          <w:color w:val="auto"/>
          <w:sz w:val="22"/>
          <w:szCs w:val="22"/>
        </w:rPr>
        <w:t>（３）落札者の決定は開札順に行うこととする。</w:t>
      </w:r>
    </w:p>
    <w:p w14:paraId="71939658" w14:textId="7F48079A" w:rsidR="00901F53" w:rsidRPr="00AF602D" w:rsidRDefault="00901F53" w:rsidP="00DE0225">
      <w:pPr>
        <w:pStyle w:val="Default"/>
        <w:ind w:leftChars="100" w:left="430" w:hangingChars="100" w:hanging="220"/>
        <w:rPr>
          <w:rFonts w:hAnsi="ＭＳ 明朝"/>
          <w:color w:val="auto"/>
          <w:sz w:val="22"/>
          <w:szCs w:val="22"/>
        </w:rPr>
      </w:pPr>
      <w:r w:rsidRPr="00AF602D">
        <w:rPr>
          <w:rFonts w:hAnsi="ＭＳ 明朝" w:hint="eastAsia"/>
          <w:color w:val="auto"/>
          <w:sz w:val="22"/>
          <w:szCs w:val="22"/>
        </w:rPr>
        <w:t>（４）</w:t>
      </w:r>
      <w:bookmarkStart w:id="1" w:name="_Hlk115924407"/>
      <w:r w:rsidRPr="00AF602D">
        <w:rPr>
          <w:rFonts w:hAnsi="ＭＳ 明朝" w:hint="eastAsia"/>
          <w:color w:val="auto"/>
          <w:sz w:val="22"/>
          <w:szCs w:val="22"/>
        </w:rPr>
        <w:t>落札決定順位に落札者を決定した結果、有効応札者数が不在となる場合は、取り抜け方式を適用せず当該案件の全応札者</w:t>
      </w:r>
      <w:r w:rsidR="004B31E8" w:rsidRPr="00AF602D">
        <w:rPr>
          <w:rFonts w:hAnsi="ＭＳ 明朝" w:hint="eastAsia"/>
          <w:color w:val="auto"/>
          <w:sz w:val="22"/>
          <w:szCs w:val="22"/>
        </w:rPr>
        <w:t>から落札者を決定するも</w:t>
      </w:r>
      <w:r w:rsidRPr="00AF602D">
        <w:rPr>
          <w:rFonts w:hAnsi="ＭＳ 明朝" w:hint="eastAsia"/>
          <w:color w:val="auto"/>
          <w:sz w:val="22"/>
          <w:szCs w:val="22"/>
        </w:rPr>
        <w:t>のとする。</w:t>
      </w:r>
    </w:p>
    <w:p w14:paraId="6C5EC771" w14:textId="77777777" w:rsidR="00C159C5" w:rsidRPr="00AF602D" w:rsidRDefault="00C159C5" w:rsidP="00C159C5">
      <w:pPr>
        <w:pStyle w:val="Default"/>
        <w:rPr>
          <w:rFonts w:hAnsi="ＭＳ 明朝"/>
          <w:color w:val="auto"/>
          <w:sz w:val="22"/>
          <w:szCs w:val="22"/>
        </w:rPr>
      </w:pPr>
      <w:r w:rsidRPr="00AF602D">
        <w:rPr>
          <w:rFonts w:hAnsi="ＭＳ 明朝" w:hint="eastAsia"/>
          <w:color w:val="auto"/>
          <w:sz w:val="22"/>
          <w:szCs w:val="22"/>
        </w:rPr>
        <w:t xml:space="preserve">　</w:t>
      </w:r>
    </w:p>
    <w:bookmarkEnd w:id="1"/>
    <w:p w14:paraId="0B162427" w14:textId="77777777" w:rsidR="00C159C5" w:rsidRPr="00AF602D" w:rsidRDefault="00C159C5" w:rsidP="00C159C5">
      <w:pPr>
        <w:pStyle w:val="Default"/>
        <w:rPr>
          <w:rFonts w:hAnsi="ＭＳ 明朝"/>
          <w:color w:val="auto"/>
          <w:sz w:val="22"/>
          <w:szCs w:val="22"/>
        </w:rPr>
      </w:pPr>
      <w:r w:rsidRPr="00AF602D">
        <w:rPr>
          <w:rFonts w:hAnsi="ＭＳ 明朝" w:hint="eastAsia"/>
          <w:color w:val="auto"/>
          <w:sz w:val="22"/>
          <w:szCs w:val="22"/>
        </w:rPr>
        <w:t>（委任）</w:t>
      </w:r>
    </w:p>
    <w:p w14:paraId="6B75A76F" w14:textId="77777777" w:rsidR="00C159C5" w:rsidRPr="00DF5316" w:rsidRDefault="00C159C5" w:rsidP="00C159C5">
      <w:pPr>
        <w:pStyle w:val="Default"/>
        <w:rPr>
          <w:rFonts w:hAnsi="ＭＳ 明朝"/>
          <w:sz w:val="22"/>
          <w:szCs w:val="22"/>
        </w:rPr>
      </w:pPr>
      <w:r>
        <w:rPr>
          <w:rFonts w:hAnsi="ＭＳ 明朝" w:hint="eastAsia"/>
          <w:sz w:val="22"/>
          <w:szCs w:val="22"/>
        </w:rPr>
        <w:t>第６</w:t>
      </w:r>
      <w:r w:rsidRPr="00DF5316">
        <w:rPr>
          <w:rFonts w:hAnsi="ＭＳ 明朝" w:hint="eastAsia"/>
          <w:sz w:val="22"/>
          <w:szCs w:val="22"/>
        </w:rPr>
        <w:t>条</w:t>
      </w:r>
      <w:r>
        <w:rPr>
          <w:rFonts w:hAnsi="ＭＳ 明朝" w:hint="eastAsia"/>
          <w:sz w:val="22"/>
          <w:szCs w:val="22"/>
        </w:rPr>
        <w:t xml:space="preserve">　</w:t>
      </w:r>
      <w:r w:rsidRPr="00DF5316">
        <w:rPr>
          <w:rFonts w:hAnsi="ＭＳ 明朝" w:hint="eastAsia"/>
          <w:sz w:val="22"/>
          <w:szCs w:val="22"/>
        </w:rPr>
        <w:t>この要領に定めるもののほか、必要な事項については、別に定める。</w:t>
      </w:r>
    </w:p>
    <w:p w14:paraId="1BA5412A" w14:textId="77777777" w:rsidR="00C159C5" w:rsidRDefault="00C159C5" w:rsidP="00C159C5">
      <w:pPr>
        <w:pStyle w:val="Default"/>
        <w:rPr>
          <w:rFonts w:hAnsi="ＭＳ 明朝"/>
          <w:sz w:val="22"/>
          <w:szCs w:val="22"/>
        </w:rPr>
      </w:pPr>
    </w:p>
    <w:p w14:paraId="2DC1BB34" w14:textId="77777777" w:rsidR="00C159C5" w:rsidRPr="00DF5316" w:rsidRDefault="00C159C5" w:rsidP="00C159C5">
      <w:pPr>
        <w:pStyle w:val="Default"/>
        <w:ind w:firstLineChars="100" w:firstLine="220"/>
        <w:rPr>
          <w:rFonts w:hAnsi="ＭＳ 明朝"/>
          <w:sz w:val="22"/>
          <w:szCs w:val="22"/>
        </w:rPr>
      </w:pPr>
      <w:r w:rsidRPr="00DF5316">
        <w:rPr>
          <w:rFonts w:hAnsi="ＭＳ 明朝" w:hint="eastAsia"/>
          <w:sz w:val="22"/>
          <w:szCs w:val="22"/>
        </w:rPr>
        <w:t>附</w:t>
      </w:r>
      <w:r>
        <w:rPr>
          <w:rFonts w:hAnsi="ＭＳ 明朝" w:hint="eastAsia"/>
          <w:sz w:val="22"/>
          <w:szCs w:val="22"/>
        </w:rPr>
        <w:t xml:space="preserve">　</w:t>
      </w:r>
      <w:r w:rsidRPr="00DF5316">
        <w:rPr>
          <w:rFonts w:hAnsi="ＭＳ 明朝" w:hint="eastAsia"/>
          <w:sz w:val="22"/>
          <w:szCs w:val="22"/>
        </w:rPr>
        <w:t>則</w:t>
      </w:r>
    </w:p>
    <w:p w14:paraId="7B9B598F" w14:textId="7529FD27" w:rsidR="00C159C5" w:rsidRPr="00C159C5" w:rsidRDefault="00C159C5" w:rsidP="00DF5316">
      <w:pPr>
        <w:rPr>
          <w:rFonts w:ascii="ＭＳ 明朝" w:eastAsia="ＭＳ 明朝" w:hAnsi="ＭＳ 明朝"/>
          <w:sz w:val="22"/>
        </w:rPr>
      </w:pPr>
      <w:r w:rsidRPr="00DF5316">
        <w:rPr>
          <w:rFonts w:ascii="ＭＳ 明朝" w:eastAsia="ＭＳ 明朝" w:hAnsi="ＭＳ 明朝" w:hint="eastAsia"/>
          <w:sz w:val="22"/>
        </w:rPr>
        <w:t>この要領は、</w:t>
      </w:r>
      <w:r>
        <w:rPr>
          <w:rFonts w:ascii="ＭＳ 明朝" w:eastAsia="ＭＳ 明朝" w:hAnsi="ＭＳ 明朝" w:hint="eastAsia"/>
          <w:sz w:val="22"/>
        </w:rPr>
        <w:t>令和４年</w:t>
      </w:r>
      <w:r w:rsidR="00D273F0">
        <w:rPr>
          <w:rFonts w:ascii="ＭＳ 明朝" w:eastAsia="ＭＳ 明朝" w:hAnsi="ＭＳ 明朝" w:hint="eastAsia"/>
          <w:sz w:val="22"/>
        </w:rPr>
        <w:t>１０月</w:t>
      </w:r>
      <w:r w:rsidR="00653538">
        <w:rPr>
          <w:rFonts w:ascii="ＭＳ 明朝" w:eastAsia="ＭＳ 明朝" w:hAnsi="ＭＳ 明朝" w:hint="eastAsia"/>
          <w:sz w:val="22"/>
        </w:rPr>
        <w:t>６</w:t>
      </w:r>
      <w:r w:rsidRPr="00DF5316">
        <w:rPr>
          <w:rFonts w:ascii="ＭＳ 明朝" w:eastAsia="ＭＳ 明朝" w:hAnsi="ＭＳ 明朝" w:hint="eastAsia"/>
          <w:sz w:val="22"/>
        </w:rPr>
        <w:t>日から施行する。</w:t>
      </w:r>
    </w:p>
    <w:sectPr w:rsidR="00C159C5" w:rsidRPr="00C159C5" w:rsidSect="00FB1B44">
      <w:pgSz w:w="11906" w:h="16838"/>
      <w:pgMar w:top="1985" w:right="1701" w:bottom="1701" w:left="1701" w:header="851" w:footer="992" w:gutter="0"/>
      <w:cols w:space="425"/>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A7370" w14:textId="77777777" w:rsidR="0031118F" w:rsidRDefault="0031118F" w:rsidP="004F5C5C">
      <w:r>
        <w:separator/>
      </w:r>
    </w:p>
  </w:endnote>
  <w:endnote w:type="continuationSeparator" w:id="0">
    <w:p w14:paraId="4A9D2C5F" w14:textId="77777777" w:rsidR="0031118F" w:rsidRDefault="0031118F" w:rsidP="004F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E7D59" w14:textId="77777777" w:rsidR="0031118F" w:rsidRDefault="0031118F" w:rsidP="004F5C5C">
      <w:r>
        <w:separator/>
      </w:r>
    </w:p>
  </w:footnote>
  <w:footnote w:type="continuationSeparator" w:id="0">
    <w:p w14:paraId="7AC303E2" w14:textId="77777777" w:rsidR="0031118F" w:rsidRDefault="0031118F" w:rsidP="004F5C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316"/>
    <w:rsid w:val="00037976"/>
    <w:rsid w:val="000D346E"/>
    <w:rsid w:val="000F0593"/>
    <w:rsid w:val="001765EA"/>
    <w:rsid w:val="0019431A"/>
    <w:rsid w:val="002334D7"/>
    <w:rsid w:val="0031118F"/>
    <w:rsid w:val="003238F9"/>
    <w:rsid w:val="003E2B93"/>
    <w:rsid w:val="003F0C60"/>
    <w:rsid w:val="003F68C3"/>
    <w:rsid w:val="00481F48"/>
    <w:rsid w:val="004B31E8"/>
    <w:rsid w:val="004B44D2"/>
    <w:rsid w:val="004B4B1D"/>
    <w:rsid w:val="004F5C5C"/>
    <w:rsid w:val="00531E2E"/>
    <w:rsid w:val="006127CF"/>
    <w:rsid w:val="00653538"/>
    <w:rsid w:val="006B3B4F"/>
    <w:rsid w:val="006D6D9C"/>
    <w:rsid w:val="00901F53"/>
    <w:rsid w:val="009A43D0"/>
    <w:rsid w:val="009C01AF"/>
    <w:rsid w:val="00AA56F7"/>
    <w:rsid w:val="00AF602D"/>
    <w:rsid w:val="00C159C5"/>
    <w:rsid w:val="00C51882"/>
    <w:rsid w:val="00CC047C"/>
    <w:rsid w:val="00CD1581"/>
    <w:rsid w:val="00CE77CE"/>
    <w:rsid w:val="00D045F1"/>
    <w:rsid w:val="00D273F0"/>
    <w:rsid w:val="00D50FF6"/>
    <w:rsid w:val="00D971C8"/>
    <w:rsid w:val="00DA5E70"/>
    <w:rsid w:val="00DB41C6"/>
    <w:rsid w:val="00DE0225"/>
    <w:rsid w:val="00DF5316"/>
    <w:rsid w:val="00E01A56"/>
    <w:rsid w:val="00E87A5C"/>
    <w:rsid w:val="00EB6985"/>
    <w:rsid w:val="00F25F63"/>
    <w:rsid w:val="00F7463B"/>
    <w:rsid w:val="00F9514C"/>
    <w:rsid w:val="00FB1B44"/>
    <w:rsid w:val="00FC5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A51A92"/>
  <w15:chartTrackingRefBased/>
  <w15:docId w15:val="{56D6D0D6-E740-404E-9BC9-03287583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F5316"/>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DF53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5316"/>
    <w:rPr>
      <w:rFonts w:asciiTheme="majorHAnsi" w:eastAsiaTheme="majorEastAsia" w:hAnsiTheme="majorHAnsi" w:cstheme="majorBidi"/>
      <w:sz w:val="18"/>
      <w:szCs w:val="18"/>
    </w:rPr>
  </w:style>
  <w:style w:type="paragraph" w:styleId="a5">
    <w:name w:val="header"/>
    <w:basedOn w:val="a"/>
    <w:link w:val="a6"/>
    <w:uiPriority w:val="99"/>
    <w:unhideWhenUsed/>
    <w:rsid w:val="004F5C5C"/>
    <w:pPr>
      <w:tabs>
        <w:tab w:val="center" w:pos="4252"/>
        <w:tab w:val="right" w:pos="8504"/>
      </w:tabs>
      <w:snapToGrid w:val="0"/>
    </w:pPr>
  </w:style>
  <w:style w:type="character" w:customStyle="1" w:styleId="a6">
    <w:name w:val="ヘッダー (文字)"/>
    <w:basedOn w:val="a0"/>
    <w:link w:val="a5"/>
    <w:uiPriority w:val="99"/>
    <w:rsid w:val="004F5C5C"/>
  </w:style>
  <w:style w:type="paragraph" w:styleId="a7">
    <w:name w:val="footer"/>
    <w:basedOn w:val="a"/>
    <w:link w:val="a8"/>
    <w:uiPriority w:val="99"/>
    <w:unhideWhenUsed/>
    <w:rsid w:val="004F5C5C"/>
    <w:pPr>
      <w:tabs>
        <w:tab w:val="center" w:pos="4252"/>
        <w:tab w:val="right" w:pos="8504"/>
      </w:tabs>
      <w:snapToGrid w:val="0"/>
    </w:pPr>
  </w:style>
  <w:style w:type="character" w:customStyle="1" w:styleId="a8">
    <w:name w:val="フッター (文字)"/>
    <w:basedOn w:val="a0"/>
    <w:link w:val="a7"/>
    <w:uiPriority w:val="99"/>
    <w:rsid w:val="004F5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U0033</dc:creator>
  <cp:keywords/>
  <dc:description/>
  <cp:lastModifiedBy>産業建設課 町土整備係</cp:lastModifiedBy>
  <cp:revision>8</cp:revision>
  <cp:lastPrinted>2022-10-06T14:27:00Z</cp:lastPrinted>
  <dcterms:created xsi:type="dcterms:W3CDTF">2022-10-05T01:34:00Z</dcterms:created>
  <dcterms:modified xsi:type="dcterms:W3CDTF">2022-10-07T10:15:00Z</dcterms:modified>
</cp:coreProperties>
</file>